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433 vom 19. August 1992</w:t>
      </w:r>
    </w:p>
    <w:p>
      <w:r>
        <w:t>Bundesgericht (BGE), 1992-08-19, DE</w:t>
      </w:r>
    </w:p>
    <w:p>
      <w:r>
        <w:rPr>
          <w:b/>
        </w:rPr>
        <w:t xml:space="preserve">Quelle: </w:t>
      </w:r>
      <w:r>
        <w:t>https://mcp.opencaselaw.ch/entscheid/bge_118 IB 433</w:t>
      </w:r>
    </w:p>
    <w:p>
      <w:r>
        <w:t>FR: BGE 118 IB 433 du 19 août 1992</w:t>
      </w:r>
    </w:p>
    <w:p>
      <w:r>
        <w:t>IT: BGE 118 IB 433 del 19 agosto 1992</w:t>
      </w:r>
    </w:p>
    <w:p>
      <w:pPr>
        <w:pStyle w:val="Heading2"/>
      </w:pPr>
      <w:r>
        <w:t>Regeste</w:t>
      </w:r>
    </w:p>
    <w:p>
      <w:r>
        <w:t>Regeste Art. 22quater BV, Raumplanungs- und Forstrecht; Koordinationspflicht. Wald in der Bauzone.</w:t>
      </w:r>
    </w:p>
    <w:p>
      <w:pPr>
        <w:pStyle w:val="Heading2"/>
      </w:pPr>
      <w:r>
        <w:t>Erwägungen</w:t>
      </w:r>
    </w:p>
    <w:p>
      <w:r>
        <w:rPr>
          <w:b/>
        </w:rPr>
        <w:t>E. 3</w:t>
      </w:r>
    </w:p>
    <w:p>
      <w:r>
        <w:t>a) Die aufgeworfene Koordinationsfrage betrifft das Verhältnis zwischen Waldfeststellung und Festlegung einer an sich vom kantonalen Recht beherrschten Bauzone. Nach der Rechtsprechung des Bundesgerichts besteht eine verfassungsrechtliche Pflicht zur materiellen und formellen Koordination der Rechtsanwendung, wenn für die Verwirklichung eines Projekts verschiedene materiellrechtliche Vorschriften anzuwenden sind und zwischen diesen Vorschriften ein derart enger Sachzusammenhang besteht, dass sie nicht getrennt und unabhängig voneinander angewendet werden dürfen ( BGE 117 Ib 48 E. 4a, BGE 116 Ib 56 E. 4a, 313 E. 2c, 327 f. E. 4a mit Hinweisen). Ein solcher Koordinationsbedarf ist bei der Waldfeststellung nicht gegeben. Nach Art. 18 Abs. 3 RPG ist das Waldareal durch die Forstgesetzgebung umschrieben und geschützt. Was Wald ist, bestimmt sich einzig nach den in Art. 1 FPolV genannten Kriterien. Auch die mit dem RPG konforme kommunale Nutzungsplanung kann an der Waldqualität einer Bestockung nichts ändern. Wald, der einer Bauzone zugewiesen ist, bleibt forstrechtlich Wald ( BGE 101 Ib 315 f. E. 2b, BGE 108 Ib 383 ; EJPD/BRP, Erläuterungen zum Bundesgesetz über die Raumplanung, Bern 1981, N. 18 zu Art. 18; AEMISEGGER/WETZEL, Wald und Raumplanung, Schriftenfolge VLP Nr. 38, Frühling 1985, S. 88 ff.; PETER DILGER, Raumplanungsrecht der Schweiz, Zürich 1982, § 5 Rz. 68, § 8 Rz. 23). Aufgrund dieser Ausgangslage ist bei der Frage, ob eine bestockte Fläche Wald ist, keine umfassende Interessenabwägung vorzunehmen, die erforderte, materiellrechtliche BGE 118 Ib 433 S. 435 Vorschriften des Bundes über die Raumplanung mitzuberücksichtigen. Weder Bestimmungen der geltenden Forstpolizeigesetzgebung noch solche der Raumplanung auferlegen in dem Sinn eine Koordinationspflicht, dass aus verfassungsmässigen Gründen Waldfeststellungen auf Nutzungsordnungen abzustimmen wären. Freilich bringt das neue Bundesgesetz über den Wald vom 4. Oktober 1991 (BBl 1991 III 1385 ff.), das allerdings noch nicht in Kraft ist, in dieser Frage eine Rechtsänderung. Art. 10 Abs. 2 schreibt vor, dass beim Erlass und bei der Revision von Nutzungsplänen eine Waldfeststellung in jenem Bereich anzuordnen ist, wo Bauzonen an Wald grenzen oder in Zukunft grenzen sollen. Sodann regelt im "Abschnitt Wald und Raumplanung" Art. 13 die Abgrenzung von Wald und Bauzonen. Abs. 1 schreibt vor, dass in den Bauzonen die Waldgrenzen gestützt auf rechtskräftige Waldfeststellungen einzutragen sind. Gemäss Abs. 2 gelten neue Bestockungen ausserhalb dieser Waldgrenzen nicht als Wald, wobei Abs. 3 eine Überprüfung vorbehält, wenn Grundstücke im Rahmen einer Revision des Nutzungsplans aus der Bauzone entlassen werden. Diese Regelung wird erst nach Inkraftsetzung des neuen Bundesgesetzes beim Erlass neuer und bei der Revision bestehender Nutzungspläne ihre Wirksamkeit entfalten. Sie ist hinsichtlich des vorliegend massgeblichen kommunalen Zonenplans vom 20. November 1985 ohne Bedeutung. Es ist auch nicht ersichtlich, inwiefern diese zukünftige Regelung im vorliegenden Fall von Belang sein könnte. Es kann deshalb offen- bleiben, ob auf die entsprechenden Argumente, welche die Beschwerdeführer erst mit ihrer Stellungnahme zum Augenscheinsprotokoll vorgebracht haben, überhaupt eingegangen werden kann. Somit ergibt sich, dass im vorliegenden Fall eine verfassungsmässige Koordinationspflicht entgegen der Ansicht der Beschwerdeführer nicht bestand. Von einer Verfassungsverletzung kann daher in dieser Hinsicht keine Rede sein. Der angefochtene Entscheid steht auch insofern nicht in Widerspruch zu Art. 22quater Abs. 3 BV , als der Bund grundsätzlich an die kantonalen Planungsmassnahmen gebunden ist; denn dies ist nur dort der Fall, wo ihn das Bundesrecht nicht davon befreit (vgl. RICCARDO JAGMETTI, Kommentar der Bundesverfassung, Art. 22quater, Rz. 9 und 143), was hinsichtlich des Waldes eben anders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